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0" w:rsidRPr="006C7401" w:rsidRDefault="00A93590" w:rsidP="002107D7">
      <w:pPr>
        <w:shd w:val="clear" w:color="auto" w:fill="FFFFFF"/>
        <w:spacing w:after="450" w:line="240" w:lineRule="auto"/>
        <w:jc w:val="center"/>
        <w:outlineLvl w:val="0"/>
        <w:rPr>
          <w:rFonts w:eastAsia="Times New Roman"/>
          <w:kern w:val="36"/>
          <w:sz w:val="28"/>
          <w:szCs w:val="42"/>
          <w:lang w:eastAsia="ru-RU"/>
        </w:rPr>
      </w:pPr>
      <w:r w:rsidRPr="006C7401">
        <w:rPr>
          <w:rFonts w:eastAsia="Times New Roman"/>
          <w:kern w:val="36"/>
          <w:sz w:val="28"/>
          <w:szCs w:val="42"/>
          <w:lang w:eastAsia="ru-RU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</w:t>
      </w:r>
    </w:p>
    <w:p w:rsidR="00A93590" w:rsidRPr="006C7401" w:rsidRDefault="00A93590" w:rsidP="00A93590">
      <w:pPr>
        <w:shd w:val="clear" w:color="auto" w:fill="FFFFFF"/>
        <w:spacing w:before="225" w:after="225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C7401">
        <w:rPr>
          <w:rFonts w:eastAsia="Times New Roman"/>
          <w:color w:val="000000"/>
          <w:sz w:val="21"/>
          <w:szCs w:val="21"/>
          <w:lang w:eastAsia="ru-RU"/>
        </w:rPr>
        <w:t xml:space="preserve">При очном приеме заявки </w:t>
      </w:r>
      <w:r w:rsidR="003220B9" w:rsidRPr="006C7401">
        <w:rPr>
          <w:rFonts w:eastAsia="Times New Roman"/>
          <w:color w:val="000000"/>
          <w:sz w:val="21"/>
          <w:szCs w:val="21"/>
          <w:lang w:eastAsia="ru-RU"/>
        </w:rPr>
        <w:t>в офисе компании</w:t>
      </w:r>
      <w:r w:rsidRPr="006C7401">
        <w:rPr>
          <w:rFonts w:eastAsia="Times New Roman"/>
          <w:color w:val="000000"/>
          <w:sz w:val="21"/>
          <w:szCs w:val="21"/>
          <w:lang w:eastAsia="ru-RU"/>
        </w:rPr>
        <w:t xml:space="preserve"> и заочном обращении через Личный кабинет потребителя, первичная и основная обработка заявки на технологическое присоединение осуществляется специалистами подразделения по взаимодействию с потребителями.</w:t>
      </w:r>
    </w:p>
    <w:p w:rsidR="00A93590" w:rsidRPr="006C7401" w:rsidRDefault="00A93590" w:rsidP="00A93590">
      <w:pPr>
        <w:shd w:val="clear" w:color="auto" w:fill="FFFFFF"/>
        <w:spacing w:before="225" w:after="225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C7401">
        <w:rPr>
          <w:rFonts w:eastAsia="Times New Roman"/>
          <w:color w:val="000000"/>
          <w:sz w:val="21"/>
          <w:szCs w:val="21"/>
          <w:lang w:eastAsia="ru-RU"/>
        </w:rPr>
        <w:t>При приеме заявки через подразделение делопроизводства проверку соблюдения требований к форме, полноте сведений в заявке и наличие прилагаемых документов выполняют специалисты ответственного подразделения, установленного организационно-распорядительными документами филиала Общества.</w:t>
      </w:r>
    </w:p>
    <w:p w:rsidR="00A93590" w:rsidRPr="006C7401" w:rsidRDefault="00A93590" w:rsidP="00A93590">
      <w:pPr>
        <w:shd w:val="clear" w:color="auto" w:fill="FFFFFF"/>
        <w:spacing w:before="225" w:after="225" w:line="240" w:lineRule="auto"/>
        <w:jc w:val="both"/>
        <w:rPr>
          <w:rFonts w:eastAsia="Times New Roman"/>
          <w:color w:val="000000"/>
          <w:sz w:val="21"/>
          <w:szCs w:val="21"/>
          <w:lang w:eastAsia="ru-RU"/>
        </w:rPr>
      </w:pPr>
      <w:r w:rsidRPr="006C7401">
        <w:rPr>
          <w:rFonts w:eastAsia="Times New Roman"/>
          <w:color w:val="000000"/>
          <w:sz w:val="21"/>
          <w:szCs w:val="21"/>
          <w:lang w:eastAsia="ru-RU"/>
        </w:rPr>
        <w:t>При очной форме подачи заявки на технологическое присоединение заявителю предлагается возможность предоставления доступа к Личному кабинету для получения сведений о статусе исполнения заявки на технологическое присоединение. В случае согласия со стороны заявителя, ему выдается Логин и пароль для входа в Личный кабинет.</w:t>
      </w:r>
    </w:p>
    <w:p w:rsidR="00A93590" w:rsidRPr="006C7401" w:rsidRDefault="00A93590" w:rsidP="00A93590">
      <w:pPr>
        <w:shd w:val="clear" w:color="auto" w:fill="FFFFFF"/>
        <w:spacing w:before="225" w:after="225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6C7401">
        <w:rPr>
          <w:rFonts w:eastAsia="Times New Roman"/>
          <w:b/>
          <w:bCs/>
          <w:color w:val="000000"/>
          <w:sz w:val="21"/>
          <w:szCs w:val="21"/>
          <w:lang w:eastAsia="ru-RU"/>
        </w:rPr>
        <w:t>Основные этапы обработки заявки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3731"/>
        <w:gridCol w:w="3477"/>
      </w:tblGrid>
      <w:tr w:rsidR="00A93590" w:rsidRPr="006C7401" w:rsidTr="00A93590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</w:p>
        </w:tc>
      </w:tr>
      <w:tr w:rsidR="00E47F10" w:rsidRPr="006C7401" w:rsidTr="00720A5D">
        <w:trPr>
          <w:trHeight w:val="1764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Первичная обработка обращения (заявки)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Прием обращения с заявкой на технологическое присоединение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7100F0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1 рабочего дня при поступлении заявки через личный кабинет, почтой в случае комплектности документов и полноты сведений в заявке</w:t>
            </w:r>
          </w:p>
        </w:tc>
      </w:tr>
      <w:tr w:rsidR="00E47F10" w:rsidRPr="006C7401" w:rsidTr="0079760E">
        <w:trPr>
          <w:trHeight w:val="2173"/>
        </w:trPr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Основная обработка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Регистрация заявки и пакета документов в АМ по направлению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7F1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рабочих дня с даты регистрации входящего письма с заявкой и пакетом документов при получении заявки почтой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рабочих дней после получения заявки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Направление заявки и пакета документов, представленных заявителем, в профильное подразделение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2 рабочих дня с даты получения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A93590" w:rsidRPr="006C7401" w:rsidTr="00A93590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Подготовка и направление уведомления об увеличении срока подготовки договора на срок согласования технических условий с системным оператором при сложном характере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Подготовка и направление уведомления заявителю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(При технологическом присоединении по индивидуальному проекту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10 рабочих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дней со дня получения заявки от заявителя (уполномоченного представителя) в случае полного пакета документов или со дня получения недостающих сведений и/или документов к заявке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</w:t>
            </w:r>
            <w:proofErr w:type="gramEnd"/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индивидуальных предпринимателей ЭПУ, максимальная мощность которых составляет до 150 к</w:t>
            </w:r>
            <w:proofErr w:type="gramStart"/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ючительно (с учетом ранее присоединенных) по второй или третьей категории надежности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20 рабочих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дней со дня получения заявки (в случае полного пакета документов) или со дня получения недостающих сведений и/или документов к заявке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(все заявители, за исключением указанных в п. 12(1) и 14 Правил технологического присоединения</w:t>
            </w:r>
            <w:proofErr w:type="gramStart"/>
            <w:r w:rsidR="00CC7095">
              <w:rPr>
                <w:rFonts w:eastAsia="Times New Roman"/>
                <w:color w:val="333333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3 рабочих дня со дня согласования с системным оператором технических условий 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при сложном характере технологического присоединения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5 рабочих дней с даты получения от заявителя мотивированного отказа от подписания проекта договора с требованием о приведении его в соответствие с Правилами технологического присоединения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30 дней с даты получения подписанного организацией проекта договора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Направление заявителем мотивированного отказа от подписания проекта договора с требованием о приведении его в соответствие с Правилами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F10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1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0 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рабочих 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дней с даты получения подписанного организацией проекта договора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(все заявители, кроме указанных в п. 12(1) и 14 Правил технологического присоединения);</w:t>
            </w:r>
          </w:p>
          <w:p w:rsidR="00A93590" w:rsidRPr="006C7401" w:rsidRDefault="00E47F10" w:rsidP="00E47F1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05 рабочих дней с даты размещения договора в личном кабинете заявителя (</w:t>
            </w: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заявители</w:t>
            </w:r>
            <w:proofErr w:type="gramEnd"/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, указанных в п. 12(1) и 14 Правил технологического присоединения)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Аннулирование заявки на 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0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рабочих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дней со дня получения заявителем подписанного сетевой организацией проекта договора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Направление копии заявки на технологическое присоединение на рассмотрение системному оператору в случае технологического присоединения энергопринимающих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присоединенных), и технологического присоединения посредством перераспределения.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5 рабочих дней с даты получения заявки</w:t>
            </w:r>
          </w:p>
        </w:tc>
      </w:tr>
      <w:tr w:rsidR="00A93590" w:rsidRPr="006C7401" w:rsidTr="00A30D11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Согласование с системным оператором технических условий на технологическое присоединение к электрическим сетям в случае 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технологического присоединения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15 дней с даты получения проекта технических условий от сетевой организации</w:t>
            </w:r>
          </w:p>
        </w:tc>
      </w:tr>
      <w:tr w:rsidR="00A30D11" w:rsidRPr="006C7401" w:rsidTr="00A30D11">
        <w:tc>
          <w:tcPr>
            <w:tcW w:w="0" w:type="auto"/>
            <w:gridSpan w:val="3"/>
            <w:tcBorders>
              <w:top w:val="single" w:sz="6" w:space="0" w:color="BABABA"/>
              <w:left w:val="nil"/>
              <w:bottom w:val="single" w:sz="6" w:space="0" w:color="BABABA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30D11" w:rsidRPr="006C7401" w:rsidRDefault="00A30D11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Осуществление мероприятий по технологическому присоединению со стороны сетевой организации:</w:t>
            </w:r>
          </w:p>
        </w:tc>
      </w:tr>
      <w:tr w:rsidR="00A93590" w:rsidRPr="006C7401" w:rsidTr="00A93590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1. В случаях,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[1]:</w:t>
            </w:r>
          </w:p>
        </w:tc>
      </w:tr>
      <w:tr w:rsidR="00A93590" w:rsidRPr="008309EF" w:rsidTr="00A93590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CC7095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 временном присоединении энергопринимающих устройств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CC7095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15 рабочих дней (если в заявке не указан более продолжительный срок) с даты заключения договора</w:t>
            </w:r>
          </w:p>
        </w:tc>
      </w:tr>
      <w:tr w:rsidR="00E47F10" w:rsidRPr="008309EF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7F10" w:rsidRPr="008309EF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7F10" w:rsidRPr="00CC7095" w:rsidRDefault="00CC7095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 заявителей, указанных в п. 12 (1), 14 Правил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E47F10" w:rsidRPr="00CC7095" w:rsidRDefault="00E47F1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30 рабочих дней с даты заключения договора (если в заявке не указан более длительный срок)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8309EF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CC7095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 заявителей с максимальной мощностью энергопринимающих устройств до 670 к</w:t>
            </w:r>
            <w:proofErr w:type="gramStart"/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ючительно (с учетом ранее присоединенной в данной точке присоединения мощности)</w:t>
            </w:r>
            <w:r w:rsidR="00E47F10"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, указанных в п. 13(3), 13 (5), 13(6)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CC7095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CC7095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4 месяца с даты заключения договора</w:t>
            </w:r>
          </w:p>
        </w:tc>
      </w:tr>
      <w:tr w:rsidR="00A93590" w:rsidRPr="006C7401" w:rsidTr="00A9359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E47F1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мощностью энергопринимающих устройств </w:t>
            </w:r>
            <w:r w:rsidR="00E47F10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менее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E47F10" w:rsidP="00E47F1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2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а</w:t>
            </w:r>
            <w:r w:rsidR="00A93590"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 с даты заключения договора</w:t>
            </w:r>
          </w:p>
        </w:tc>
      </w:tr>
      <w:tr w:rsidR="00A93590" w:rsidRPr="006C7401" w:rsidTr="00A93590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2. В случаях, 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      </w:r>
          </w:p>
        </w:tc>
      </w:tr>
      <w:tr w:rsidR="00A93590" w:rsidRPr="006C7401" w:rsidTr="00A93590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кВт включительно (с учетом 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ранее присоединенной в данной точке присоединения мощности),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15 рабочих дней (если в заявке не указан более продолжительный срок) с даты заключения договора</w:t>
            </w:r>
          </w:p>
        </w:tc>
      </w:tr>
      <w:tr w:rsidR="00A93590" w:rsidRPr="006C7401" w:rsidTr="00A93590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в т.ч. технологического присоединения посредством перераспределения.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6 месяцев ) с даты заключения договора</w:t>
            </w:r>
          </w:p>
        </w:tc>
      </w:tr>
      <w:tr w:rsidR="00A93590" w:rsidRPr="006C7401" w:rsidTr="00A93590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 заявителей, суммарная максимальная мощность энергопринимающих устройств которых не превышает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</w:tr>
      <w:tr w:rsidR="00A93590" w:rsidRPr="006C7401" w:rsidTr="00A93590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для заявителей, суммарная максимальная мощность энергопринимающих устройств которых превышает 670 кВт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2 года, если иные сроки (но не более 4 лет) не предусмотрены соответствующей инвестиционной программой или соглашением сторон</w:t>
            </w:r>
          </w:p>
        </w:tc>
      </w:tr>
      <w:tr w:rsidR="00A93590" w:rsidRPr="006C7401" w:rsidTr="00A93590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Сроки исполнения сетевой организацией фактического присоединения объектов заявителя в случаях, когда не требуется согласование технических условий с субъектом оперативно-диспетчерского контроля:</w:t>
            </w:r>
          </w:p>
        </w:tc>
      </w:tr>
      <w:tr w:rsidR="00CC7095" w:rsidRPr="006C7401" w:rsidTr="006D12CC">
        <w:trPr>
          <w:trHeight w:val="1764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C7095" w:rsidRPr="006C7401" w:rsidRDefault="00CC7095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C7095" w:rsidRPr="006C7401" w:rsidRDefault="00CC7095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Осмотр (обследование) ЭПУ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3 рабочих дней после уведомления заявителем о выполнении своих обязательств договора об осуществлении технологического присоединения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3-дневный срок после проведения осмотра.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замечаний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случае присоединения ЭПУ к сетям классом напряжения до 20 кВ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Повторный осмотр электроустановки заявителя. Акт о выполнении технических условий оформляется после устранения выявленных нарушений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</w:tr>
      <w:tr w:rsidR="00A93590" w:rsidRPr="006C7401" w:rsidTr="00A93590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управления, осуществляется сетевой организацией и системным оператором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позднее, чем за 5 рабочих дней до дня его проведения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позднее, чем за 2 рабочих дня до его проведения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Повторный осмотр.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не позднее, чем через 3 рабочих дня после получения уведомления об устранении замечаний с приложением информации и документов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случае, если технические условия были 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3-дневный срок, общий срок проверки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течение 5 дней со дня получения акта о выполнении технических условий в 3 экземплярах</w:t>
            </w:r>
          </w:p>
        </w:tc>
      </w:tr>
      <w:tr w:rsidR="00A93590" w:rsidRPr="006C7401" w:rsidTr="00A93590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C7095" w:rsidRDefault="00CC7095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Выдача уведомления об обеспечении сетевой организацией возможности присоединения к электрическим сетям;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Выдача акта об осуществлении технологического присоединения;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Акта разграничения границ балансовой принадлежности сторон;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Акта разграничения эксплуатационной ответственности сторон;</w:t>
            </w:r>
          </w:p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 xml:space="preserve">Акта согласования технологической и (или) аварийной брони а соответствии с п.14(2)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      </w: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лицам, к электрическим сетям», утв. ПП РФ от 27.12.2004 № 861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93590" w:rsidRPr="006C7401" w:rsidRDefault="00A93590" w:rsidP="00A93590">
            <w:pPr>
              <w:spacing w:after="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 w:rsidRPr="006C7401"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</w:tr>
    </w:tbl>
    <w:p w:rsidR="00BF793D" w:rsidRDefault="00A93590" w:rsidP="00CC7095">
      <w:pPr>
        <w:jc w:val="both"/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</w:pPr>
      <w:r w:rsidRPr="006C7401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[ 1] в случае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</w:t>
      </w:r>
      <w:bookmarkStart w:id="0" w:name="_GoBack"/>
      <w:bookmarkEnd w:id="0"/>
      <w:r w:rsidRPr="006C7401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  <w:p w:rsidR="00CC7095" w:rsidRPr="00CC7095" w:rsidRDefault="00CC7095" w:rsidP="00CC7095">
      <w:pPr>
        <w:jc w:val="both"/>
        <w:rPr>
          <w:sz w:val="21"/>
          <w:szCs w:val="21"/>
        </w:rPr>
      </w:pPr>
      <w:r w:rsidRPr="00CC7095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 xml:space="preserve">[2] </w:t>
      </w:r>
      <w:r w:rsidRPr="00CC7095">
        <w:rPr>
          <w:sz w:val="21"/>
          <w:szCs w:val="21"/>
          <w:shd w:val="clear" w:color="auto" w:fill="FFFFFF"/>
        </w:rPr>
        <w:t xml:space="preserve">Правила </w:t>
      </w:r>
      <w:r w:rsidRPr="00CC7095">
        <w:rPr>
          <w:sz w:val="21"/>
          <w:szCs w:val="21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РФ№ 861 от 27.12.2004 г.)</w:t>
      </w:r>
      <w:r>
        <w:rPr>
          <w:sz w:val="21"/>
          <w:szCs w:val="21"/>
        </w:rPr>
        <w:t>.</w:t>
      </w:r>
    </w:p>
    <w:sectPr w:rsidR="00CC7095" w:rsidRPr="00CC7095" w:rsidSect="006C74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2FB1"/>
    <w:multiLevelType w:val="multilevel"/>
    <w:tmpl w:val="900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A"/>
    <w:rsid w:val="002107D7"/>
    <w:rsid w:val="003220B9"/>
    <w:rsid w:val="006C7401"/>
    <w:rsid w:val="007100F0"/>
    <w:rsid w:val="007564F3"/>
    <w:rsid w:val="008309EF"/>
    <w:rsid w:val="009C42D9"/>
    <w:rsid w:val="00A30D11"/>
    <w:rsid w:val="00A90D9A"/>
    <w:rsid w:val="00A93590"/>
    <w:rsid w:val="00BF793D"/>
    <w:rsid w:val="00CC7095"/>
    <w:rsid w:val="00E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7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13C6-11B9-47AC-8164-97F3F77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2023-02-06T12:14:00Z</dcterms:created>
  <dcterms:modified xsi:type="dcterms:W3CDTF">2023-02-07T03:09:00Z</dcterms:modified>
</cp:coreProperties>
</file>