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AA671" w14:textId="38007C44" w:rsidR="00DD3672" w:rsidRDefault="00DD3672" w:rsidP="00DD3672">
      <w:pPr>
        <w:pStyle w:val="a3"/>
        <w:shd w:val="clear" w:color="auto" w:fill="FFFFFF"/>
        <w:spacing w:before="0" w:beforeAutospacing="0" w:after="0" w:afterAutospacing="0"/>
        <w:ind w:firstLine="708"/>
        <w:jc w:val="center"/>
        <w:textAlignment w:val="baseline"/>
        <w:rPr>
          <w:b/>
          <w:bCs/>
          <w:color w:val="1F1F1F"/>
          <w:sz w:val="28"/>
          <w:szCs w:val="28"/>
        </w:rPr>
      </w:pPr>
      <w:r w:rsidRPr="00DD3672">
        <w:rPr>
          <w:b/>
          <w:bCs/>
          <w:color w:val="1F1F1F"/>
          <w:sz w:val="28"/>
          <w:szCs w:val="28"/>
        </w:rPr>
        <w:t>Порядок осуществления технологического присоединения к электрическим сетям (п. 19 «и» Стандартов)</w:t>
      </w:r>
    </w:p>
    <w:p w14:paraId="05AC010B" w14:textId="77777777" w:rsidR="00DD3672" w:rsidRP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p>
    <w:p w14:paraId="4FF004D5" w14:textId="63DA7573" w:rsid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r w:rsidRPr="00DD3672">
        <w:rPr>
          <w:color w:val="1F1F1F"/>
          <w:sz w:val="28"/>
          <w:szCs w:val="28"/>
        </w:rPr>
        <w:t>Технологическое присоединение к электрическим сетям осуществляется согласно Федеральному закону «Об электроэнергетике» (№ 35-ФЗ от 26.03.2003 г.) в порядке, определенном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N 861 от 27.12.2004 г. (далее – Правила).</w:t>
      </w:r>
    </w:p>
    <w:p w14:paraId="4ED8A347" w14:textId="77777777" w:rsidR="00DD3672" w:rsidRP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p>
    <w:p w14:paraId="45F650AC" w14:textId="67FCC736" w:rsidR="00DD3672" w:rsidRDefault="00DD3672" w:rsidP="00DD3672">
      <w:pPr>
        <w:pStyle w:val="a3"/>
        <w:shd w:val="clear" w:color="auto" w:fill="FFFFFF"/>
        <w:spacing w:before="0" w:beforeAutospacing="0" w:after="0" w:afterAutospacing="0"/>
        <w:ind w:firstLine="708"/>
        <w:jc w:val="center"/>
        <w:textAlignment w:val="baseline"/>
        <w:rPr>
          <w:b/>
          <w:bCs/>
          <w:color w:val="1F1F1F"/>
          <w:sz w:val="28"/>
          <w:szCs w:val="28"/>
        </w:rPr>
      </w:pPr>
      <w:r w:rsidRPr="00DD3672">
        <w:rPr>
          <w:b/>
          <w:bCs/>
          <w:color w:val="1F1F1F"/>
          <w:sz w:val="28"/>
          <w:szCs w:val="28"/>
        </w:rPr>
        <w:t>Процедура технологического присоединения (пункт 7 Правил):</w:t>
      </w:r>
    </w:p>
    <w:p w14:paraId="67735C73" w14:textId="77777777" w:rsidR="00DD3672" w:rsidRPr="00DD3672" w:rsidRDefault="00DD3672" w:rsidP="00DD3672">
      <w:pPr>
        <w:pStyle w:val="a3"/>
        <w:shd w:val="clear" w:color="auto" w:fill="FFFFFF"/>
        <w:spacing w:before="0" w:beforeAutospacing="0" w:after="0" w:afterAutospacing="0"/>
        <w:ind w:firstLine="708"/>
        <w:jc w:val="center"/>
        <w:textAlignment w:val="baseline"/>
        <w:rPr>
          <w:color w:val="1F1F1F"/>
          <w:sz w:val="28"/>
          <w:szCs w:val="28"/>
        </w:rPr>
      </w:pPr>
    </w:p>
    <w:p w14:paraId="1581A28A" w14:textId="4FAE8EF4" w:rsid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а) подача заявки юридическим или физическим лицом (далее – заявитель), которое имеет намерение осуществить технологическое присоединение впервые вводимых в эксплуатацию энергопринимающих устройств, увеличить объем максимальной мощности ранее присоединенных энергопринимающих устройств,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ранее присоединенных энергопринимающих устройств.</w:t>
      </w:r>
    </w:p>
    <w:p w14:paraId="76AF050C"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2945499F" w14:textId="33619878" w:rsid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б) заключение договора.</w:t>
      </w:r>
    </w:p>
    <w:p w14:paraId="4222F7DB"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62262928" w14:textId="528B523E" w:rsid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r w:rsidRPr="00DD3672">
        <w:rPr>
          <w:color w:val="1F1F1F"/>
          <w:sz w:val="28"/>
          <w:szCs w:val="28"/>
        </w:rPr>
        <w:t>Сетевая организация, в отношении заявителей, указанных в пунктах 12(1), 13(2) - 13(5) и 14 Правил,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 (п. 105 Правил):</w:t>
      </w:r>
    </w:p>
    <w:p w14:paraId="45DEEB84" w14:textId="77777777" w:rsidR="00DD3672" w:rsidRP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p>
    <w:p w14:paraId="6D05DFE9" w14:textId="13FDFC60" w:rsid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r w:rsidRPr="00DD3672">
        <w:rPr>
          <w:color w:val="1F1F1F"/>
          <w:sz w:val="28"/>
          <w:szCs w:val="28"/>
        </w:rP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14:paraId="11C7A50D" w14:textId="77777777" w:rsidR="00DD3672" w:rsidRP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p>
    <w:p w14:paraId="156BDB91" w14:textId="3313A3B6" w:rsid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r w:rsidRPr="00DD3672">
        <w:rPr>
          <w:color w:val="1F1F1F"/>
          <w:sz w:val="28"/>
          <w:szCs w:val="28"/>
        </w:rPr>
        <w:t>счет, предусмотренный пунктом 103 настоящих Правил;</w:t>
      </w:r>
    </w:p>
    <w:p w14:paraId="137C5B9B"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65D30F22" w14:textId="24D2FEA9" w:rsid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r w:rsidRPr="00DD3672">
        <w:rPr>
          <w:color w:val="1F1F1F"/>
          <w:sz w:val="28"/>
          <w:szCs w:val="28"/>
        </w:rPr>
        <w:t xml:space="preserve">технические условия, содержащие перечень мероприятий по технологическому присоединению в соответствии с пунктами 25(1), 25(6) и 25(7)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w:t>
      </w:r>
      <w:r w:rsidRPr="00DD3672">
        <w:rPr>
          <w:color w:val="1F1F1F"/>
          <w:sz w:val="28"/>
          <w:szCs w:val="28"/>
        </w:rPr>
        <w:lastRenderedPageBreak/>
        <w:t>квалифицированной электронной подписью уполномоченного лица гарантирующего поставщика, указанного в заявке в соответствии с подпунктом "л" пункта 9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14:paraId="4D805975" w14:textId="77777777" w:rsidR="00DD3672" w:rsidRP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p>
    <w:p w14:paraId="6CF873CD" w14:textId="4FF4C2F5" w:rsid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r w:rsidRPr="00DD3672">
        <w:rPr>
          <w:color w:val="1F1F1F"/>
          <w:sz w:val="28"/>
          <w:szCs w:val="28"/>
        </w:rPr>
        <w:t xml:space="preserve">в отношении заявителей, указанных в пунктах 13(2) - 13(5) настоящих Правил, - проект договора, обеспечивающего продажу электрической энергии (мощности), выработанной на объектах </w:t>
      </w:r>
      <w:proofErr w:type="spellStart"/>
      <w:r w:rsidRPr="00DD3672">
        <w:rPr>
          <w:color w:val="1F1F1F"/>
          <w:sz w:val="28"/>
          <w:szCs w:val="28"/>
        </w:rPr>
        <w:t>микрогенерации</w:t>
      </w:r>
      <w:proofErr w:type="spellEnd"/>
      <w:r w:rsidRPr="00DD3672">
        <w:rPr>
          <w:color w:val="1F1F1F"/>
          <w:sz w:val="28"/>
          <w:szCs w:val="28"/>
        </w:rPr>
        <w:t>, на розничном рынке, подписанный усиленной квалифицированной электронной подписью уполномоченного лица гарантирующего поставщика, в чьей зоне деятельности находятся соответствующие объекты;</w:t>
      </w:r>
    </w:p>
    <w:p w14:paraId="7BE80897" w14:textId="77777777" w:rsidR="00DD3672" w:rsidRP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p>
    <w:p w14:paraId="127F6142" w14:textId="0F9E9606" w:rsid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r w:rsidRPr="00DD3672">
        <w:rPr>
          <w:color w:val="1F1F1F"/>
          <w:sz w:val="28"/>
          <w:szCs w:val="28"/>
        </w:rP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 юридическим лицам или индивидуальным предпринимателям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(с учетом ранее присоединенных в данной точке присоединения энергопринимающих устройств);</w:t>
      </w:r>
    </w:p>
    <w:p w14:paraId="51EE1FBF" w14:textId="77777777" w:rsidR="00DD3672" w:rsidRP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p>
    <w:p w14:paraId="3BC2D61A" w14:textId="241512B5" w:rsid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r w:rsidRPr="00DD3672">
        <w:rPr>
          <w:color w:val="1F1F1F"/>
          <w:sz w:val="28"/>
          <w:szCs w:val="28"/>
        </w:rPr>
        <w:t>физическим лицам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w:t>
      </w:r>
    </w:p>
    <w:p w14:paraId="577B756E" w14:textId="77777777" w:rsidR="00DD3672" w:rsidRP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p>
    <w:p w14:paraId="5940198C" w14:textId="1FBAEECA" w:rsid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r w:rsidRPr="00DD3672">
        <w:rPr>
          <w:color w:val="1F1F1F"/>
          <w:sz w:val="28"/>
          <w:szCs w:val="28"/>
        </w:rPr>
        <w:t>Договор между сетевой организацией и заявителями, указанными в пунктах 12(1), 13(2) - 13(5) и 14 настоящих Правил, считается заключенным на условиях, предусмотренных настоящими Правилами, со дня оплаты заявителем счета, предусмотренного пунктом 103 настоящих Правил (п. 104 Правил)</w:t>
      </w:r>
      <w:r>
        <w:rPr>
          <w:color w:val="1F1F1F"/>
          <w:sz w:val="28"/>
          <w:szCs w:val="28"/>
        </w:rPr>
        <w:t xml:space="preserve">. </w:t>
      </w:r>
      <w:r w:rsidRPr="00DD3672">
        <w:rPr>
          <w:color w:val="1F1F1F"/>
          <w:sz w:val="28"/>
          <w:szCs w:val="28"/>
        </w:rPr>
        <w:t>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в следующие сроки (пункт 15 Правил): </w:t>
      </w:r>
    </w:p>
    <w:p w14:paraId="6167869C" w14:textId="77777777" w:rsidR="00DD3672" w:rsidRP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p>
    <w:p w14:paraId="0B20E655" w14:textId="5BA3F699" w:rsid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 не позднее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14:paraId="3C3822F3"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0830EF86" w14:textId="50A1962C" w:rsid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 в течение 10 дней со дня получения заявки: заявителям в целях временного технологического присоединения; </w:t>
      </w:r>
    </w:p>
    <w:p w14:paraId="620B0447"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58619456" w14:textId="5BB00004" w:rsid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 в течение 20 рабочих дней со дня получения заявки для иных категорий заявителей.</w:t>
      </w:r>
    </w:p>
    <w:p w14:paraId="09FD8CB2"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32848AF9" w14:textId="5F0B4A13" w:rsid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r w:rsidRPr="00DD3672">
        <w:rPr>
          <w:color w:val="1F1F1F"/>
          <w:sz w:val="28"/>
          <w:szCs w:val="28"/>
        </w:rPr>
        <w:t>Договор считается заключенным с даты поступления подписанного заявителем экземпляра договора в сетевую организацию.</w:t>
      </w:r>
    </w:p>
    <w:p w14:paraId="4F25AAB2" w14:textId="77777777" w:rsidR="00DD3672" w:rsidRP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p>
    <w:p w14:paraId="21D4433B" w14:textId="731248CD" w:rsid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r w:rsidRPr="00DD3672">
        <w:rPr>
          <w:color w:val="1F1F1F"/>
          <w:sz w:val="28"/>
          <w:szCs w:val="28"/>
        </w:rPr>
        <w:t>В отношении заявителей (юридических лиц или индивидуальных предпринимателей), осуществляющих технологическое присоединение по второй или третьей категории надежности,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 (пункт 104 Правил).</w:t>
      </w:r>
    </w:p>
    <w:p w14:paraId="1F7FCE05" w14:textId="77777777" w:rsidR="00DD3672" w:rsidRP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p>
    <w:p w14:paraId="672400ED" w14:textId="4D1D9845" w:rsid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r w:rsidRPr="00DD3672">
        <w:rPr>
          <w:color w:val="1F1F1F"/>
          <w:sz w:val="28"/>
          <w:szCs w:val="28"/>
        </w:rPr>
        <w:t>в) выполнение сторонами договора мероприятий, предусмотренных договором.</w:t>
      </w:r>
    </w:p>
    <w:p w14:paraId="03677C77" w14:textId="77777777" w:rsidR="00DD3672" w:rsidRP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p>
    <w:p w14:paraId="6B4483C6" w14:textId="050F5EE0" w:rsid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r w:rsidRPr="00DD3672">
        <w:rPr>
          <w:color w:val="1F1F1F"/>
          <w:sz w:val="28"/>
          <w:szCs w:val="28"/>
        </w:rPr>
        <w:t>Срок осуществления мероприятий по технологическому присоединению, который исчисляется со дня заключения договора и не может превышать (пункт 16 б) Правил):</w:t>
      </w:r>
    </w:p>
    <w:p w14:paraId="39B76EAC"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3E80308D" w14:textId="341E9C33" w:rsid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30 рабочих дней - для заявителей:</w:t>
      </w:r>
    </w:p>
    <w:p w14:paraId="155B287F"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56D3612C" w14:textId="652D4D0D" w:rsid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 юридических лиц или индивидуальных предпринимателей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(с учетом ранее присоединенных в данной точке присоединения энергопринимающих устройств);</w:t>
      </w:r>
    </w:p>
    <w:p w14:paraId="15F1DF6A"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0643A78F" w14:textId="3ED7C58D" w:rsid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при одновременном соблюдении следующих условий</w:t>
      </w:r>
      <w:r>
        <w:rPr>
          <w:color w:val="1F1F1F"/>
          <w:sz w:val="28"/>
          <w:szCs w:val="28"/>
        </w:rPr>
        <w:t>;</w:t>
      </w:r>
    </w:p>
    <w:p w14:paraId="62D8AF37"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6C7FD2DE" w14:textId="2DC6AD85" w:rsid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 xml:space="preserve">- технологическое присоединение энергопринимающих устройств заявителя осуществляется к электрическим сетям классом напряжения 0,4 </w:t>
      </w:r>
      <w:proofErr w:type="spellStart"/>
      <w:r w:rsidRPr="00DD3672">
        <w:rPr>
          <w:color w:val="1F1F1F"/>
          <w:sz w:val="28"/>
          <w:szCs w:val="28"/>
        </w:rPr>
        <w:t>кВ</w:t>
      </w:r>
      <w:proofErr w:type="spellEnd"/>
      <w:r w:rsidRPr="00DD3672">
        <w:rPr>
          <w:color w:val="1F1F1F"/>
          <w:sz w:val="28"/>
          <w:szCs w:val="28"/>
        </w:rPr>
        <w:t xml:space="preserve"> и ниже;</w:t>
      </w:r>
    </w:p>
    <w:p w14:paraId="39FB874E"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7EC97825"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lastRenderedPageBreak/>
        <w:t>-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14:paraId="12131A0E"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14:paraId="01DB533F"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14:paraId="5615484A"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при несоблюдении любого из условий:</w:t>
      </w:r>
    </w:p>
    <w:p w14:paraId="098325C4"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 xml:space="preserve">в случаях осуществления технологического присоединения к электрическим сетям классом напряжения до 20 </w:t>
      </w:r>
      <w:proofErr w:type="spellStart"/>
      <w:r w:rsidRPr="00DD3672">
        <w:rPr>
          <w:color w:val="1F1F1F"/>
          <w:sz w:val="28"/>
          <w:szCs w:val="28"/>
        </w:rPr>
        <w:t>кВ</w:t>
      </w:r>
      <w:proofErr w:type="spellEnd"/>
      <w:r w:rsidRPr="00DD3672">
        <w:rPr>
          <w:color w:val="1F1F1F"/>
          <w:sz w:val="28"/>
          <w:szCs w:val="28"/>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074C8362"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14:paraId="1D58FC67"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4 месяца – для заявителей, максимальная мощность энергопринимающих устройств которых составляет до 670 кВт включительно;</w:t>
      </w:r>
    </w:p>
    <w:p w14:paraId="79D7BEED"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1 год – для заявителей, максимальная мощность энергопринимающих устройств которых составляет свыше 670 кВт;</w:t>
      </w:r>
    </w:p>
    <w:p w14:paraId="64C47D30"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в иных случаях:</w:t>
      </w:r>
    </w:p>
    <w:p w14:paraId="61037446" w14:textId="018299D3" w:rsid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 xml:space="preserve">15 рабочих дней (если в заявке не указан более продолжительный срок) - при временном технологическом присоединении заявителей, энергопринимающие </w:t>
      </w:r>
      <w:r w:rsidRPr="00DD3672">
        <w:rPr>
          <w:color w:val="1F1F1F"/>
          <w:sz w:val="28"/>
          <w:szCs w:val="28"/>
        </w:rPr>
        <w:lastRenderedPageBreak/>
        <w:t>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14:paraId="0A53E901"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5C909977" w14:textId="76C2986C" w:rsid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 xml:space="preserve">6 месяцев – для заявителей, указанных в пунктах 12(1), 13(3), 13(5), 14 и 34 Правил, если технологическое присоединение осуществляется к электрическим сетям, уровень напряжения которых составляет до 20 </w:t>
      </w:r>
      <w:proofErr w:type="spellStart"/>
      <w:r w:rsidRPr="00DD3672">
        <w:rPr>
          <w:color w:val="1F1F1F"/>
          <w:sz w:val="28"/>
          <w:szCs w:val="28"/>
        </w:rPr>
        <w:t>кВ</w:t>
      </w:r>
      <w:proofErr w:type="spellEnd"/>
      <w:r w:rsidRPr="00DD3672">
        <w:rPr>
          <w:color w:val="1F1F1F"/>
          <w:sz w:val="28"/>
          <w:szCs w:val="28"/>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14:paraId="225E5E26"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325C439F" w14:textId="194E9579" w:rsid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14:paraId="76C9093D"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189AF8FD" w14:textId="1974518A" w:rsid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14:paraId="1E68CFA9"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0C4ECDAB" w14:textId="35F34689" w:rsid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r w:rsidRPr="00DD3672">
        <w:rPr>
          <w:color w:val="1F1F1F"/>
          <w:sz w:val="28"/>
          <w:szCs w:val="28"/>
        </w:rP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p>
    <w:p w14:paraId="50E5BBD4" w14:textId="77777777" w:rsidR="00DD3672" w:rsidRP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p>
    <w:p w14:paraId="4634BEBC" w14:textId="1863877D" w:rsid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 xml:space="preserve">г) получение разрешения органа федерального государственного энергетического надзора в соответствии с Правилами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DD3672">
        <w:rPr>
          <w:color w:val="1F1F1F"/>
          <w:sz w:val="28"/>
          <w:szCs w:val="28"/>
        </w:rPr>
        <w:t>теплопотребляющих</w:t>
      </w:r>
      <w:proofErr w:type="spellEnd"/>
      <w:r w:rsidRPr="00DD3672">
        <w:rPr>
          <w:color w:val="1F1F1F"/>
          <w:sz w:val="28"/>
          <w:szCs w:val="28"/>
        </w:rPr>
        <w:t xml:space="preserve">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w:t>
      </w:r>
      <w:r w:rsidRPr="00DD3672">
        <w:rPr>
          <w:color w:val="1F1F1F"/>
          <w:sz w:val="28"/>
          <w:szCs w:val="28"/>
        </w:rPr>
        <w:lastRenderedPageBreak/>
        <w:t xml:space="preserve">объектов по производству электрической энергии, объектов электросетевого хозяйства, объектов теплоснабжения и </w:t>
      </w:r>
      <w:proofErr w:type="spellStart"/>
      <w:r w:rsidRPr="00DD3672">
        <w:rPr>
          <w:color w:val="1F1F1F"/>
          <w:sz w:val="28"/>
          <w:szCs w:val="28"/>
        </w:rPr>
        <w:t>теплопотребляющих</w:t>
      </w:r>
      <w:proofErr w:type="spellEnd"/>
      <w:r w:rsidRPr="00DD3672">
        <w:rPr>
          <w:color w:val="1F1F1F"/>
          <w:sz w:val="28"/>
          <w:szCs w:val="28"/>
        </w:rPr>
        <w:t xml:space="preserve"> установок и внесении изменений в некоторые акты Правительства Российской Федерации".</w:t>
      </w:r>
    </w:p>
    <w:p w14:paraId="3D518739"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7086132D" w14:textId="77777777" w:rsidR="00DD3672" w:rsidRP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r w:rsidRPr="00DD3672">
        <w:rPr>
          <w:color w:val="1F1F1F"/>
          <w:sz w:val="28"/>
          <w:szCs w:val="28"/>
        </w:rPr>
        <w:t xml:space="preserve">В случае технологического присоединения объектов лиц, указанных в пункте 12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w:t>
      </w:r>
      <w:proofErr w:type="spellStart"/>
      <w:r w:rsidRPr="00DD3672">
        <w:rPr>
          <w:color w:val="1F1F1F"/>
          <w:sz w:val="28"/>
          <w:szCs w:val="28"/>
        </w:rPr>
        <w:t>кВ</w:t>
      </w:r>
      <w:proofErr w:type="spellEnd"/>
      <w:r w:rsidRPr="00DD3672">
        <w:rPr>
          <w:color w:val="1F1F1F"/>
          <w:sz w:val="28"/>
          <w:szCs w:val="28"/>
        </w:rPr>
        <w:t xml:space="preserve"> включительно, объектов лиц, указанных в пунктах 12(1), 13, 13(2) - 13(5) и 14 настоящих Правил, а также в отношении объектов электросетевого хозяйства сетевых организаций классом напряжения до 20 </w:t>
      </w:r>
      <w:proofErr w:type="spellStart"/>
      <w:r w:rsidRPr="00DD3672">
        <w:rPr>
          <w:color w:val="1F1F1F"/>
          <w:sz w:val="28"/>
          <w:szCs w:val="28"/>
        </w:rPr>
        <w:t>кВ</w:t>
      </w:r>
      <w:proofErr w:type="spellEnd"/>
      <w:r w:rsidRPr="00DD3672">
        <w:rPr>
          <w:color w:val="1F1F1F"/>
          <w:sz w:val="28"/>
          <w:szCs w:val="28"/>
        </w:rPr>
        <w:t xml:space="preserve">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Правилами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DD3672">
        <w:rPr>
          <w:color w:val="1F1F1F"/>
          <w:sz w:val="28"/>
          <w:szCs w:val="28"/>
        </w:rPr>
        <w:t>теплопотребляющих</w:t>
      </w:r>
      <w:proofErr w:type="spellEnd"/>
      <w:r w:rsidRPr="00DD3672">
        <w:rPr>
          <w:color w:val="1F1F1F"/>
          <w:sz w:val="28"/>
          <w:szCs w:val="28"/>
        </w:rPr>
        <w:t xml:space="preserve">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DD3672">
        <w:rPr>
          <w:color w:val="1F1F1F"/>
          <w:sz w:val="28"/>
          <w:szCs w:val="28"/>
        </w:rPr>
        <w:t>теплопотребляющих</w:t>
      </w:r>
      <w:proofErr w:type="spellEnd"/>
      <w:r w:rsidRPr="00DD3672">
        <w:rPr>
          <w:color w:val="1F1F1F"/>
          <w:sz w:val="28"/>
          <w:szCs w:val="28"/>
        </w:rPr>
        <w:t xml:space="preserve"> установок и внесении изменений в некоторые акты Правительства Российской Федерации" с учетом положений пунктов 18(1) - 18(4) настоящих Правил не требуется.</w:t>
      </w:r>
    </w:p>
    <w:p w14:paraId="629AA03A" w14:textId="7BBD741D" w:rsid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w:t>
      </w:r>
    </w:p>
    <w:p w14:paraId="2E1C77A5" w14:textId="1526B934"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r>
        <w:rPr>
          <w:color w:val="1F1F1F"/>
          <w:sz w:val="28"/>
          <w:szCs w:val="28"/>
        </w:rPr>
        <w:tab/>
      </w:r>
    </w:p>
    <w:p w14:paraId="6101CD13" w14:textId="77777777" w:rsidR="00DD3672" w:rsidRP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r w:rsidRPr="00DD3672">
        <w:rPr>
          <w:color w:val="1F1F1F"/>
          <w:sz w:val="28"/>
          <w:szCs w:val="28"/>
        </w:rPr>
        <w:t>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14:paraId="1D254359" w14:textId="099BC594" w:rsid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 xml:space="preserve">В отношении заявителей, указанных в пунктах 12(1), 13(2) - 13(5) и 14 настоящих Правил, в случае, если технологическое присоединение энергопринимающих устройств таких заявителей осуществляется на уровне напряжения 0,4 </w:t>
      </w:r>
      <w:proofErr w:type="spellStart"/>
      <w:r w:rsidRPr="00DD3672">
        <w:rPr>
          <w:color w:val="1F1F1F"/>
          <w:sz w:val="28"/>
          <w:szCs w:val="28"/>
        </w:rPr>
        <w:t>кВ</w:t>
      </w:r>
      <w:proofErr w:type="spellEnd"/>
      <w:r w:rsidRPr="00DD3672">
        <w:rPr>
          <w:color w:val="1F1F1F"/>
          <w:sz w:val="28"/>
          <w:szCs w:val="28"/>
        </w:rPr>
        <w:t xml:space="preserve"> и ниже, - обеспечение сетевой организацией возможности осуществить действиями заявителя фактическое присоединение объектов </w:t>
      </w:r>
      <w:r w:rsidRPr="00DD3672">
        <w:rPr>
          <w:color w:val="1F1F1F"/>
          <w:sz w:val="28"/>
          <w:szCs w:val="28"/>
        </w:rPr>
        <w:lastRenderedPageBreak/>
        <w:t xml:space="preserve">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w:t>
      </w:r>
      <w:proofErr w:type="spellStart"/>
      <w:r w:rsidRPr="00DD3672">
        <w:rPr>
          <w:color w:val="1F1F1F"/>
          <w:sz w:val="28"/>
          <w:szCs w:val="28"/>
        </w:rPr>
        <w:t>микрогенерации</w:t>
      </w:r>
      <w:proofErr w:type="spellEnd"/>
      <w:r w:rsidRPr="00DD3672">
        <w:rPr>
          <w:color w:val="1F1F1F"/>
          <w:sz w:val="28"/>
          <w:szCs w:val="28"/>
        </w:rPr>
        <w:t xml:space="preserve">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14:paraId="37F76F65"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399560F5" w14:textId="2A794B1C" w:rsid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r w:rsidRPr="00DD3672">
        <w:rPr>
          <w:color w:val="1F1F1F"/>
          <w:sz w:val="28"/>
          <w:szCs w:val="28"/>
        </w:rPr>
        <w:t xml:space="preserve">Правил под осуществлением действиями заявителя фактического присоединения и фактического приема (выдачи объектами </w:t>
      </w:r>
      <w:proofErr w:type="spellStart"/>
      <w:r w:rsidRPr="00DD3672">
        <w:rPr>
          <w:color w:val="1F1F1F"/>
          <w:sz w:val="28"/>
          <w:szCs w:val="28"/>
        </w:rPr>
        <w:t>микрогенерации</w:t>
      </w:r>
      <w:proofErr w:type="spellEnd"/>
      <w:r w:rsidRPr="00DD3672">
        <w:rPr>
          <w:color w:val="1F1F1F"/>
          <w:sz w:val="28"/>
          <w:szCs w:val="28"/>
        </w:rPr>
        <w:t xml:space="preserve">)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w:t>
      </w:r>
      <w:proofErr w:type="spellStart"/>
      <w:r w:rsidRPr="00DD3672">
        <w:rPr>
          <w:color w:val="1F1F1F"/>
          <w:sz w:val="28"/>
          <w:szCs w:val="28"/>
        </w:rPr>
        <w:t>микрогенерации</w:t>
      </w:r>
      <w:proofErr w:type="spellEnd"/>
      <w:r w:rsidRPr="00DD3672">
        <w:rPr>
          <w:color w:val="1F1F1F"/>
          <w:sz w:val="28"/>
          <w:szCs w:val="28"/>
        </w:rPr>
        <w:t>)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14:paraId="0A434DB6" w14:textId="77777777" w:rsidR="00DD3672" w:rsidRPr="00DD3672" w:rsidRDefault="00DD3672" w:rsidP="00DD3672">
      <w:pPr>
        <w:pStyle w:val="a3"/>
        <w:shd w:val="clear" w:color="auto" w:fill="FFFFFF"/>
        <w:spacing w:before="0" w:beforeAutospacing="0" w:after="0" w:afterAutospacing="0"/>
        <w:ind w:firstLine="708"/>
        <w:jc w:val="both"/>
        <w:textAlignment w:val="baseline"/>
        <w:rPr>
          <w:color w:val="1F1F1F"/>
          <w:sz w:val="28"/>
          <w:szCs w:val="28"/>
        </w:rPr>
      </w:pPr>
    </w:p>
    <w:p w14:paraId="32B5769D" w14:textId="5308FF1B" w:rsid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е) составление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r:id="rId4" w:history="1">
        <w:r w:rsidRPr="00DD3672">
          <w:rPr>
            <w:rStyle w:val="a4"/>
            <w:color w:val="014DA2"/>
            <w:sz w:val="28"/>
            <w:szCs w:val="28"/>
            <w:bdr w:val="none" w:sz="0" w:space="0" w:color="auto" w:frame="1"/>
          </w:rPr>
          <w:t>пункте 14(2)</w:t>
        </w:r>
      </w:hyperlink>
      <w:r w:rsidRPr="00DD3672">
        <w:rPr>
          <w:color w:val="1F1F1F"/>
          <w:sz w:val="28"/>
          <w:szCs w:val="28"/>
        </w:rPr>
        <w:t> Правил).</w:t>
      </w:r>
    </w:p>
    <w:p w14:paraId="1B2F8D4C" w14:textId="0A4C51F6" w:rsid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2CF10A6F" w14:textId="362A036A" w:rsid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04D1D11A" w14:textId="004F92E3" w:rsid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07C2CA09" w14:textId="56CD7E41" w:rsid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24717AAB" w14:textId="307BAE5D" w:rsid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13DD0120" w14:textId="2080EC36" w:rsid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0CF2A751" w14:textId="54097DC8" w:rsid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0B2B33B5" w14:textId="136B5643" w:rsid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17D901F6" w14:textId="7B2D07FD" w:rsid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09987C02" w14:textId="39DA1F62" w:rsid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7FF2D774" w14:textId="224069B7" w:rsid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1C244C9A" w14:textId="379B6F7C" w:rsid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6110C315" w14:textId="5B18F111" w:rsid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66E4FD5A" w14:textId="79D86046" w:rsid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7CF263EC" w14:textId="79F056BB" w:rsid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143C49D5" w14:textId="67E93AA1" w:rsid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797B32EA" w14:textId="065D2197" w:rsid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3DDE4498" w14:textId="12FA518A" w:rsid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2816D833" w14:textId="0F70F7CB" w:rsid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7BDEE35C" w14:textId="30C53E9A" w:rsid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19FF6F4B" w14:textId="775D3F73" w:rsid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4F580940" w14:textId="7F67BA6E" w:rsid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49681A87" w14:textId="39CE7D97" w:rsid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7694362E" w14:textId="0A620F2F" w:rsidR="00DD3672" w:rsidRDefault="00DD3672" w:rsidP="00DD3672">
      <w:pPr>
        <w:pStyle w:val="a3"/>
        <w:shd w:val="clear" w:color="auto" w:fill="FFFFFF"/>
        <w:spacing w:before="0" w:beforeAutospacing="0" w:after="0" w:afterAutospacing="0"/>
        <w:jc w:val="center"/>
        <w:textAlignment w:val="baseline"/>
        <w:rPr>
          <w:b/>
          <w:bCs/>
          <w:color w:val="1F1F1F"/>
          <w:sz w:val="28"/>
          <w:szCs w:val="28"/>
        </w:rPr>
      </w:pPr>
      <w:r w:rsidRPr="00DD3672">
        <w:rPr>
          <w:b/>
          <w:bCs/>
          <w:color w:val="1F1F1F"/>
          <w:sz w:val="28"/>
          <w:szCs w:val="28"/>
        </w:rPr>
        <w:lastRenderedPageBreak/>
        <w:t>М</w:t>
      </w:r>
      <w:r w:rsidRPr="00DD3672">
        <w:rPr>
          <w:b/>
          <w:bCs/>
          <w:color w:val="1F1F1F"/>
          <w:sz w:val="28"/>
          <w:szCs w:val="28"/>
        </w:rPr>
        <w:t>ероприятия по технологическому присоединению включают в себя (пункт 18 Правил):</w:t>
      </w:r>
    </w:p>
    <w:p w14:paraId="6EED3B23" w14:textId="77777777" w:rsidR="00DD3672" w:rsidRPr="00DD3672" w:rsidRDefault="00DD3672" w:rsidP="00DD3672">
      <w:pPr>
        <w:pStyle w:val="a3"/>
        <w:shd w:val="clear" w:color="auto" w:fill="FFFFFF"/>
        <w:spacing w:before="0" w:beforeAutospacing="0" w:after="0" w:afterAutospacing="0"/>
        <w:jc w:val="center"/>
        <w:textAlignment w:val="baseline"/>
        <w:rPr>
          <w:color w:val="1F1F1F"/>
          <w:sz w:val="28"/>
          <w:szCs w:val="28"/>
        </w:rPr>
      </w:pPr>
    </w:p>
    <w:p w14:paraId="2EEF780D" w14:textId="1E02AF58" w:rsid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14:paraId="680D7FBC"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33DD4F95" w14:textId="68EA350C" w:rsid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б) разработку сетевой организацией проектной документации согласно обязательствам, предусмотренным техническими условиями;</w:t>
      </w:r>
    </w:p>
    <w:p w14:paraId="7C0200D2"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4C42DE32" w14:textId="73E674F8" w:rsid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14:paraId="6B223185"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3C53008D" w14:textId="19D2BD05" w:rsid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w:t>
      </w:r>
      <w:proofErr w:type="spellStart"/>
      <w:r w:rsidRPr="00DD3672">
        <w:rPr>
          <w:color w:val="1F1F1F"/>
          <w:sz w:val="28"/>
          <w:szCs w:val="28"/>
        </w:rPr>
        <w:t>микрогенерации</w:t>
      </w:r>
      <w:proofErr w:type="spellEnd"/>
      <w:r w:rsidRPr="00DD3672">
        <w:rPr>
          <w:color w:val="1F1F1F"/>
          <w:sz w:val="28"/>
          <w:szCs w:val="28"/>
        </w:rPr>
        <w:t xml:space="preserve">)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Правилами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пунктах 12(1) и 14 Правил, кроме случаев, если технологическое присоединение энергопринимающих устройств (объектов </w:t>
      </w:r>
      <w:proofErr w:type="spellStart"/>
      <w:r w:rsidRPr="00DD3672">
        <w:rPr>
          <w:color w:val="1F1F1F"/>
          <w:sz w:val="28"/>
          <w:szCs w:val="28"/>
        </w:rPr>
        <w:t>микрогенерации</w:t>
      </w:r>
      <w:proofErr w:type="spellEnd"/>
      <w:r w:rsidRPr="00DD3672">
        <w:rPr>
          <w:color w:val="1F1F1F"/>
          <w:sz w:val="28"/>
          <w:szCs w:val="28"/>
        </w:rPr>
        <w:t xml:space="preserve">) таких заявителей осуществляется на уровне напряжения выше 0,4 </w:t>
      </w:r>
      <w:proofErr w:type="spellStart"/>
      <w:r w:rsidRPr="00DD3672">
        <w:rPr>
          <w:color w:val="1F1F1F"/>
          <w:sz w:val="28"/>
          <w:szCs w:val="28"/>
        </w:rPr>
        <w:t>кВ</w:t>
      </w:r>
      <w:proofErr w:type="spellEnd"/>
      <w:r w:rsidRPr="00DD3672">
        <w:rPr>
          <w:color w:val="1F1F1F"/>
          <w:sz w:val="28"/>
          <w:szCs w:val="28"/>
        </w:rPr>
        <w:t>);</w:t>
      </w:r>
    </w:p>
    <w:p w14:paraId="44AA2C7A"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5748F9A3" w14:textId="4F791EFC" w:rsid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 xml:space="preserve">д) проверку выполнения заявителем (за исключением заявителей, указанных в пунктах 12(1), 13(2) - 13(5) и 14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w:t>
      </w:r>
      <w:proofErr w:type="spellStart"/>
      <w:r w:rsidRPr="00DD3672">
        <w:rPr>
          <w:color w:val="1F1F1F"/>
          <w:sz w:val="28"/>
          <w:szCs w:val="28"/>
        </w:rPr>
        <w:t>кВ</w:t>
      </w:r>
      <w:proofErr w:type="spellEnd"/>
      <w:r w:rsidRPr="00DD3672">
        <w:rPr>
          <w:color w:val="1F1F1F"/>
          <w:sz w:val="28"/>
          <w:szCs w:val="28"/>
        </w:rPr>
        <w:t>) и сетевой организацией технических условий в соответствии с разделом IX Правил;</w:t>
      </w:r>
    </w:p>
    <w:p w14:paraId="74A67B24"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259DC8F2" w14:textId="31CF0CDD" w:rsid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lastRenderedPageBreak/>
        <w:t>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5" w:history="1">
        <w:r w:rsidRPr="00DD3672">
          <w:rPr>
            <w:rStyle w:val="a4"/>
            <w:color w:val="014DA2"/>
            <w:sz w:val="28"/>
            <w:szCs w:val="28"/>
            <w:bdr w:val="none" w:sz="0" w:space="0" w:color="auto" w:frame="1"/>
          </w:rPr>
          <w:t>Правилами</w:t>
        </w:r>
      </w:hyperlink>
      <w:r w:rsidRPr="00DD3672">
        <w:rPr>
          <w:color w:val="1F1F1F"/>
          <w:sz w:val="28"/>
          <w:szCs w:val="28"/>
        </w:rPr>
        <w:t> технологического функционирования электроэнергетических систем;</w:t>
      </w:r>
    </w:p>
    <w:p w14:paraId="6F2D4CA1"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3132A084" w14:textId="37E1AE3B" w:rsidR="00DD3672" w:rsidRDefault="00DD3672" w:rsidP="00DD3672">
      <w:pPr>
        <w:pStyle w:val="a3"/>
        <w:shd w:val="clear" w:color="auto" w:fill="FFFFFF"/>
        <w:spacing w:before="0" w:beforeAutospacing="0" w:after="0" w:afterAutospacing="0"/>
        <w:jc w:val="both"/>
        <w:textAlignment w:val="baseline"/>
        <w:rPr>
          <w:color w:val="1F1F1F"/>
          <w:sz w:val="28"/>
          <w:szCs w:val="28"/>
        </w:rPr>
      </w:pPr>
      <w:r w:rsidRPr="00DD3672">
        <w:rPr>
          <w:color w:val="1F1F1F"/>
          <w:sz w:val="28"/>
          <w:szCs w:val="28"/>
        </w:rP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14:paraId="67E5DD15" w14:textId="77777777" w:rsidR="00DD3672" w:rsidRPr="00DD3672" w:rsidRDefault="00DD3672" w:rsidP="00DD3672">
      <w:pPr>
        <w:pStyle w:val="a3"/>
        <w:shd w:val="clear" w:color="auto" w:fill="FFFFFF"/>
        <w:spacing w:before="0" w:beforeAutospacing="0" w:after="0" w:afterAutospacing="0"/>
        <w:jc w:val="both"/>
        <w:textAlignment w:val="baseline"/>
        <w:rPr>
          <w:color w:val="1F1F1F"/>
          <w:sz w:val="28"/>
          <w:szCs w:val="28"/>
        </w:rPr>
      </w:pPr>
    </w:p>
    <w:p w14:paraId="6CEC9429" w14:textId="77777777" w:rsidR="004C4F79" w:rsidRPr="00DD3672" w:rsidRDefault="004C4F79" w:rsidP="00DD3672">
      <w:pPr>
        <w:jc w:val="both"/>
        <w:rPr>
          <w:rFonts w:ascii="Times New Roman" w:hAnsi="Times New Roman" w:cs="Times New Roman"/>
          <w:sz w:val="28"/>
          <w:szCs w:val="28"/>
        </w:rPr>
      </w:pPr>
    </w:p>
    <w:sectPr w:rsidR="004C4F79" w:rsidRPr="00DD3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672"/>
    <w:rsid w:val="004C4F79"/>
    <w:rsid w:val="00800963"/>
    <w:rsid w:val="00DD3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AF380"/>
  <w15:chartTrackingRefBased/>
  <w15:docId w15:val="{81AFDED3-9607-4B26-95E7-3C7BEAC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3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3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B7EEE4DFDA0AD39E74C8F438BEEB2ADBEE8DDF0043B6495BB9D5C066DC8DD0A1D1C9D211B511B935CB66526B3D0B76CFE57D55B66BFC63Ft7N9K" TargetMode="External"/><Relationship Id="rId4" Type="http://schemas.openxmlformats.org/officeDocument/2006/relationships/hyperlink" Target="consultantplus://offline/ref=CA70C8D58DFC389C69A8AA8FFEBB5A02DB623A58030B06C97049A9615E871F00B1A35A40D47147CCF3844E1A2AB6F5C467716F9C6B898D15M1X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2965</Words>
  <Characters>16901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2022-07-26T09:15:00Z</dcterms:created>
  <dcterms:modified xsi:type="dcterms:W3CDTF">2022-07-26T09:22:00Z</dcterms:modified>
</cp:coreProperties>
</file>